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FF3" w:rsidRDefault="00A83FF3" w:rsidP="00A83FF3">
      <w:pPr>
        <w:rPr>
          <w:i/>
        </w:rPr>
      </w:pPr>
      <w:bookmarkStart w:id="0" w:name="_GoBack"/>
      <w:bookmarkEnd w:id="0"/>
      <w:r>
        <w:rPr>
          <w:i/>
        </w:rPr>
        <w:t>Liceo Scientifico Statale “G.B. Grassi- Latina- Via Sant’Agostino n.8</w:t>
      </w:r>
    </w:p>
    <w:p w:rsidR="00A83FF3" w:rsidRPr="00A83FF3" w:rsidRDefault="00A83FF3" w:rsidP="00A83FF3">
      <w:pPr>
        <w:rPr>
          <w:i/>
        </w:rPr>
      </w:pPr>
    </w:p>
    <w:p w:rsidR="00784D81" w:rsidRDefault="00784D81">
      <w:pPr>
        <w:jc w:val="center"/>
        <w:rPr>
          <w:b/>
          <w:i/>
        </w:rPr>
      </w:pPr>
      <w:r>
        <w:rPr>
          <w:b/>
        </w:rPr>
        <w:t>Progetto</w:t>
      </w:r>
      <w:r>
        <w:rPr>
          <w:b/>
          <w:i/>
        </w:rPr>
        <w:t xml:space="preserve">  Formazione  personale  docente  per  gli  Esami  di  Stato</w:t>
      </w:r>
    </w:p>
    <w:p w:rsidR="00784D81" w:rsidRDefault="00784D81">
      <w:pPr>
        <w:pStyle w:val="Nomesociet"/>
        <w:spacing w:line="240" w:lineRule="auto"/>
        <w:ind w:left="-195" w:right="-45"/>
        <w:jc w:val="center"/>
        <w:rPr>
          <w:rFonts w:ascii="Verdana" w:hAnsi="Verdana"/>
          <w:spacing w:val="10"/>
          <w:sz w:val="4"/>
          <w:szCs w:val="4"/>
        </w:rPr>
      </w:pPr>
    </w:p>
    <w:p w:rsidR="00784D81" w:rsidRDefault="00784D81">
      <w:pPr>
        <w:pStyle w:val="Nomesociet"/>
        <w:spacing w:line="240" w:lineRule="auto"/>
        <w:ind w:left="-195" w:right="-45"/>
        <w:jc w:val="center"/>
        <w:rPr>
          <w:rFonts w:ascii="Times New Roman" w:hAnsi="Times New Roman"/>
          <w:b/>
          <w:spacing w:val="0"/>
          <w:sz w:val="18"/>
          <w:szCs w:val="18"/>
        </w:rPr>
      </w:pPr>
      <w:r>
        <w:rPr>
          <w:rFonts w:ascii="Times New Roman" w:hAnsi="Times New Roman"/>
          <w:b/>
          <w:spacing w:val="0"/>
          <w:sz w:val="18"/>
          <w:szCs w:val="18"/>
        </w:rPr>
        <w:t>(Interventi formativi di cui al D.M. n. 23/2013 e al D.M. n. 351/2014 – USR Lazio)</w:t>
      </w:r>
    </w:p>
    <w:p w:rsidR="00784D81" w:rsidRDefault="00784D81">
      <w:pPr>
        <w:pStyle w:val="Nomesociet"/>
        <w:spacing w:line="240" w:lineRule="auto"/>
        <w:ind w:left="-195" w:right="-45"/>
        <w:jc w:val="center"/>
        <w:rPr>
          <w:rFonts w:ascii="Verdana" w:hAnsi="Verdana"/>
          <w:spacing w:val="10"/>
          <w:sz w:val="6"/>
          <w:szCs w:val="6"/>
        </w:rPr>
      </w:pPr>
    </w:p>
    <w:p w:rsidR="00784D81" w:rsidRDefault="00784D81">
      <w:pPr>
        <w:pStyle w:val="Nomesociet"/>
        <w:spacing w:line="240" w:lineRule="auto"/>
        <w:ind w:left="-195" w:right="-45"/>
        <w:jc w:val="center"/>
        <w:rPr>
          <w:rFonts w:ascii="Times New Roman" w:hAnsi="Times New Roman"/>
          <w:b/>
          <w:spacing w:val="10"/>
          <w:sz w:val="20"/>
        </w:rPr>
      </w:pPr>
      <w:proofErr w:type="spellStart"/>
      <w:r>
        <w:rPr>
          <w:rFonts w:ascii="Times New Roman" w:hAnsi="Times New Roman"/>
          <w:b/>
          <w:spacing w:val="10"/>
          <w:sz w:val="20"/>
        </w:rPr>
        <w:t>A.Sc</w:t>
      </w:r>
      <w:proofErr w:type="spellEnd"/>
      <w:r>
        <w:rPr>
          <w:rFonts w:ascii="Times New Roman" w:hAnsi="Times New Roman"/>
          <w:b/>
          <w:spacing w:val="10"/>
          <w:sz w:val="20"/>
        </w:rPr>
        <w:t>.  2014/2015</w:t>
      </w:r>
    </w:p>
    <w:p w:rsidR="00784D81" w:rsidRDefault="00784D81">
      <w:pPr>
        <w:pStyle w:val="Nomesociet"/>
        <w:spacing w:line="240" w:lineRule="auto"/>
        <w:ind w:left="-195" w:right="-45"/>
        <w:jc w:val="center"/>
        <w:rPr>
          <w:rFonts w:ascii="Verdana" w:hAnsi="Verdana"/>
          <w:spacing w:val="10"/>
          <w:sz w:val="10"/>
          <w:szCs w:val="10"/>
        </w:rPr>
      </w:pPr>
    </w:p>
    <w:p w:rsidR="00784D81" w:rsidRDefault="00784D81">
      <w:pPr>
        <w:pStyle w:val="Nomesociet"/>
        <w:spacing w:line="240" w:lineRule="auto"/>
        <w:ind w:left="-195" w:right="-45"/>
        <w:jc w:val="center"/>
        <w:rPr>
          <w:rFonts w:ascii="Times New Roman" w:hAnsi="Times New Roman"/>
          <w:b/>
          <w:spacing w:val="10"/>
          <w:sz w:val="24"/>
        </w:rPr>
      </w:pPr>
      <w:r>
        <w:rPr>
          <w:rFonts w:ascii="Times New Roman" w:hAnsi="Times New Roman"/>
          <w:b/>
          <w:spacing w:val="10"/>
          <w:sz w:val="24"/>
        </w:rPr>
        <w:t>Seconda  prova  scritta - Simulazione</w:t>
      </w:r>
    </w:p>
    <w:p w:rsidR="00784D81" w:rsidRDefault="00784D81">
      <w:pPr>
        <w:pStyle w:val="Nomesociet"/>
        <w:spacing w:line="240" w:lineRule="auto"/>
        <w:ind w:left="-195" w:right="-45"/>
        <w:jc w:val="center"/>
        <w:rPr>
          <w:rFonts w:ascii="Times New Roman" w:hAnsi="Times New Roman"/>
          <w:spacing w:val="10"/>
          <w:sz w:val="16"/>
          <w:szCs w:val="16"/>
        </w:rPr>
      </w:pPr>
    </w:p>
    <w:p w:rsidR="00A83FF3" w:rsidRDefault="00784D81" w:rsidP="00A83FF3">
      <w:pPr>
        <w:spacing w:line="360" w:lineRule="auto"/>
        <w:jc w:val="both"/>
        <w:rPr>
          <w:sz w:val="22"/>
          <w:szCs w:val="22"/>
        </w:rPr>
      </w:pPr>
      <w:r>
        <w:rPr>
          <w:b/>
          <w:sz w:val="20"/>
          <w:szCs w:val="20"/>
        </w:rPr>
        <w:t xml:space="preserve">Codice e Indirizzo </w:t>
      </w:r>
      <w:r w:rsidR="00A83FF3">
        <w:rPr>
          <w:b/>
          <w:sz w:val="20"/>
          <w:szCs w:val="20"/>
        </w:rPr>
        <w:t>: LI01-Latino-Liceo Classico</w:t>
      </w:r>
      <w:r w:rsidR="00111A02">
        <w:rPr>
          <w:b/>
          <w:sz w:val="20"/>
          <w:szCs w:val="20"/>
        </w:rPr>
        <w:t xml:space="preserve"> COD M195</w:t>
      </w:r>
    </w:p>
    <w:p w:rsidR="00784D81" w:rsidRDefault="00784D81">
      <w:pPr>
        <w:rPr>
          <w:sz w:val="22"/>
          <w:szCs w:val="22"/>
        </w:rPr>
      </w:pPr>
    </w:p>
    <w:p w:rsidR="00784D81" w:rsidRDefault="00784D81">
      <w:pPr>
        <w:spacing w:line="360" w:lineRule="auto"/>
        <w:jc w:val="both"/>
        <w:rPr>
          <w:sz w:val="21"/>
          <w:szCs w:val="21"/>
        </w:rPr>
      </w:pPr>
    </w:p>
    <w:p w:rsidR="00784D81" w:rsidRDefault="00111A02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Autore della prova</w:t>
      </w:r>
      <w:r w:rsidR="00784D81">
        <w:rPr>
          <w:sz w:val="21"/>
          <w:szCs w:val="21"/>
        </w:rPr>
        <w:t xml:space="preserve">: Sabrina </w:t>
      </w:r>
      <w:proofErr w:type="spellStart"/>
      <w:r w:rsidR="00784D81">
        <w:rPr>
          <w:sz w:val="21"/>
          <w:szCs w:val="21"/>
        </w:rPr>
        <w:t>Rossi-L.Classico</w:t>
      </w:r>
      <w:proofErr w:type="spellEnd"/>
      <w:r w:rsidR="00784D81">
        <w:rPr>
          <w:sz w:val="21"/>
          <w:szCs w:val="21"/>
        </w:rPr>
        <w:t xml:space="preserve"> “</w:t>
      </w:r>
      <w:proofErr w:type="spellStart"/>
      <w:r w:rsidR="00784D81">
        <w:rPr>
          <w:sz w:val="21"/>
          <w:szCs w:val="21"/>
        </w:rPr>
        <w:t>D.Alighieri</w:t>
      </w:r>
      <w:proofErr w:type="spellEnd"/>
      <w:r w:rsidR="00784D81">
        <w:rPr>
          <w:sz w:val="21"/>
          <w:szCs w:val="21"/>
        </w:rPr>
        <w:t>”-Latina</w:t>
      </w:r>
    </w:p>
    <w:p w:rsidR="00784D81" w:rsidRDefault="00784D81">
      <w:pPr>
        <w:spacing w:line="360" w:lineRule="auto"/>
        <w:jc w:val="both"/>
        <w:rPr>
          <w:sz w:val="21"/>
          <w:szCs w:val="21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7"/>
      </w:tblGrid>
      <w:tr w:rsidR="00784D81">
        <w:tc>
          <w:tcPr>
            <w:tcW w:w="96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84D81" w:rsidRDefault="00784D81">
            <w:pPr>
              <w:snapToGrid w:val="0"/>
              <w:jc w:val="center"/>
            </w:pPr>
            <w:r>
              <w:t xml:space="preserve">Tacito, </w:t>
            </w:r>
            <w:r>
              <w:rPr>
                <w:u w:val="single"/>
              </w:rPr>
              <w:t>Annales</w:t>
            </w:r>
            <w:r>
              <w:t xml:space="preserve"> VI, 22</w:t>
            </w:r>
          </w:p>
          <w:p w:rsidR="00784D81" w:rsidRDefault="00784D81">
            <w:pPr>
              <w:jc w:val="center"/>
            </w:pPr>
          </w:p>
          <w:p w:rsidR="00784D81" w:rsidRDefault="00784D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più punti della sua opera,Tacito esplicita i cardini del suo metodo storiografico.</w:t>
            </w:r>
          </w:p>
          <w:p w:rsidR="00784D81" w:rsidRDefault="00784D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Nel passo proposto, lo storico si interroga su fatalità e casualità, sulla presenza o sulla totale assenza del soprannaturale nella storia.</w:t>
            </w:r>
          </w:p>
          <w:p w:rsidR="00784D81" w:rsidRDefault="00784D81">
            <w:pPr>
              <w:jc w:val="both"/>
            </w:pPr>
          </w:p>
          <w:p w:rsidR="00784D81" w:rsidRDefault="00784D81">
            <w:pPr>
              <w:jc w:val="both"/>
              <w:rPr>
                <w:rFonts w:ascii="Book Antiqua" w:hAnsi="Book Antiqua"/>
                <w:i/>
                <w:iCs/>
                <w:color w:val="000000"/>
              </w:rPr>
            </w:pP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Sed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mihi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haec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ac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talia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audienti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in incerto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iudicium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est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fatone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res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mortalium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et necessitate immutabili an forte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volvantur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.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quippe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sapientissimos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veterum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quique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sectam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eorum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aemulantur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diversos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reperies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ac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multis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insitam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opinionem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non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initia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nostri, non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finem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non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denique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homines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dis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curae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; ideo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creberrime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tristia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in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bonos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laeta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apud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deteriores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esse. contra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alii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fatum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quidem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congruere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rebus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putant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sed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non e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vagis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stellis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verum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apud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principia et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nexus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naturalium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causarum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; ac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tamen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electionem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vitae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nobis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relinquunt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quam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ubi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elegeris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certum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imminentium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ordinem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.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neque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mala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vel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bona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quae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vulgus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putet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: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multos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qui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conflictari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adversis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videantur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beatos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at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plerosque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quamquam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magnas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per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opes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miserrimos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si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illi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gravem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fortunam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constanter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tolerent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hi prospera inconsulte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utantur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.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ceterum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plurimis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mortalium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non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eximitur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quin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primo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cuiusque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ortu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ventura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destinentur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,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sed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quaedam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secus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quam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dicta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sint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cadere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fallaciis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ignara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dicentium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: ita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corrumpi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fidem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artis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cuius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clara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documenta et antiqua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aetas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 et nostra </w:t>
            </w:r>
            <w:proofErr w:type="spellStart"/>
            <w:r>
              <w:rPr>
                <w:rFonts w:ascii="Book Antiqua" w:hAnsi="Book Antiqua"/>
                <w:i/>
                <w:iCs/>
                <w:color w:val="000000"/>
              </w:rPr>
              <w:t>tulerit</w:t>
            </w:r>
            <w:proofErr w:type="spellEnd"/>
            <w:r>
              <w:rPr>
                <w:rFonts w:ascii="Book Antiqua" w:hAnsi="Book Antiqua"/>
                <w:i/>
                <w:iCs/>
                <w:color w:val="000000"/>
              </w:rPr>
              <w:t xml:space="preserve">. </w:t>
            </w:r>
          </w:p>
          <w:p w:rsidR="00784D81" w:rsidRDefault="00784D81">
            <w:pPr>
              <w:jc w:val="both"/>
            </w:pPr>
          </w:p>
          <w:p w:rsidR="00784D81" w:rsidRDefault="00784D81">
            <w:pPr>
              <w:rPr>
                <w:rFonts w:ascii="Times" w:hAnsi="Times"/>
                <w:b/>
                <w:sz w:val="22"/>
                <w:szCs w:val="22"/>
              </w:rPr>
            </w:pPr>
            <w:r>
              <w:rPr>
                <w:rFonts w:ascii="Times" w:hAnsi="Times"/>
                <w:b/>
                <w:sz w:val="22"/>
                <w:szCs w:val="22"/>
              </w:rPr>
              <w:t>Traduzione</w:t>
            </w:r>
          </w:p>
          <w:p w:rsidR="00784D81" w:rsidRDefault="00784D81">
            <w:pPr>
              <w:rPr>
                <w:rFonts w:ascii="Times" w:hAnsi="Times"/>
                <w:sz w:val="22"/>
                <w:szCs w:val="22"/>
              </w:rPr>
            </w:pPr>
            <w:r>
              <w:rPr>
                <w:rFonts w:ascii="Times" w:hAnsi="Times"/>
                <w:sz w:val="22"/>
                <w:szCs w:val="22"/>
              </w:rPr>
              <w:t>Il candidato traduca il testo (148 parole).</w:t>
            </w:r>
          </w:p>
          <w:p w:rsidR="00784D81" w:rsidRDefault="00784D81">
            <w:pPr>
              <w:rPr>
                <w:rFonts w:ascii="Times" w:hAnsi="Times"/>
                <w:sz w:val="22"/>
                <w:szCs w:val="22"/>
              </w:rPr>
            </w:pPr>
          </w:p>
          <w:p w:rsidR="00784D81" w:rsidRDefault="00784D81">
            <w:pPr>
              <w:rPr>
                <w:rFonts w:ascii="Times" w:hAnsi="Times"/>
                <w:b/>
                <w:sz w:val="22"/>
                <w:szCs w:val="22"/>
              </w:rPr>
            </w:pPr>
            <w:r>
              <w:rPr>
                <w:rFonts w:ascii="Times" w:hAnsi="Times"/>
                <w:b/>
                <w:sz w:val="22"/>
                <w:szCs w:val="22"/>
              </w:rPr>
              <w:t>Comprensione</w:t>
            </w:r>
          </w:p>
          <w:p w:rsidR="00784D81" w:rsidRDefault="00784D81">
            <w:pPr>
              <w:numPr>
                <w:ilvl w:val="0"/>
                <w:numId w:val="1"/>
              </w:numPr>
              <w:jc w:val="both"/>
              <w:rPr>
                <w:rFonts w:ascii="Times" w:hAnsi="Times"/>
                <w:sz w:val="22"/>
                <w:szCs w:val="22"/>
              </w:rPr>
            </w:pPr>
            <w:r>
              <w:rPr>
                <w:rFonts w:ascii="Times" w:hAnsi="Times"/>
                <w:sz w:val="22"/>
                <w:szCs w:val="22"/>
              </w:rPr>
              <w:t>Nel passo, Tacito fa riferimento a due precise tesi delle maggiori scuole filosofiche dell’ellenismo. Si rintraccino i punti corrispondenti e si esplicitino le diverse posizioni con citazioni dal testo.</w:t>
            </w:r>
          </w:p>
          <w:p w:rsidR="00784D81" w:rsidRDefault="00784D81">
            <w:pPr>
              <w:numPr>
                <w:ilvl w:val="0"/>
                <w:numId w:val="1"/>
              </w:numPr>
              <w:jc w:val="both"/>
              <w:rPr>
                <w:rFonts w:ascii="Times" w:hAnsi="Times"/>
                <w:sz w:val="22"/>
                <w:szCs w:val="22"/>
              </w:rPr>
            </w:pPr>
            <w:r>
              <w:rPr>
                <w:rFonts w:ascii="Times" w:hAnsi="Times"/>
                <w:sz w:val="22"/>
                <w:szCs w:val="22"/>
              </w:rPr>
              <w:t>Si evidenzi la visione che l'autore ci offre dell'arte divinatoria, con riferimento ai termini impiegati, e si spieghi come essa si possa  conciliare con la sua concezione dell'agire umano.</w:t>
            </w:r>
          </w:p>
          <w:p w:rsidR="00784D81" w:rsidRDefault="00784D81">
            <w:pPr>
              <w:rPr>
                <w:rFonts w:ascii="Times" w:hAnsi="Times"/>
                <w:b/>
                <w:sz w:val="22"/>
                <w:szCs w:val="22"/>
              </w:rPr>
            </w:pPr>
          </w:p>
          <w:p w:rsidR="00784D81" w:rsidRDefault="00784D81">
            <w:pPr>
              <w:rPr>
                <w:rFonts w:ascii="Times" w:hAnsi="Times"/>
                <w:b/>
                <w:sz w:val="22"/>
                <w:szCs w:val="22"/>
              </w:rPr>
            </w:pPr>
            <w:r>
              <w:rPr>
                <w:rFonts w:ascii="Times" w:hAnsi="Times"/>
                <w:b/>
                <w:sz w:val="22"/>
                <w:szCs w:val="22"/>
              </w:rPr>
              <w:t>Analisi</w:t>
            </w:r>
          </w:p>
          <w:p w:rsidR="00784D81" w:rsidRDefault="00784D81">
            <w:pPr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Nel passo sono presenti molte frasi ellittiche del verbo, tratto tipico dell'autore. Si individuino almeno due  esempi.</w:t>
            </w:r>
          </w:p>
          <w:p w:rsidR="00784D81" w:rsidRDefault="00784D81">
            <w:pPr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 xml:space="preserve">Si individuino antitesi e </w:t>
            </w:r>
            <w:proofErr w:type="spellStart"/>
            <w:r>
              <w:rPr>
                <w:rFonts w:ascii="Times" w:hAnsi="Times"/>
                <w:i/>
                <w:iCs/>
                <w:color w:val="000000"/>
                <w:sz w:val="22"/>
                <w:szCs w:val="22"/>
              </w:rPr>
              <w:t>variatio</w:t>
            </w:r>
            <w:proofErr w:type="spellEnd"/>
            <w:r>
              <w:rPr>
                <w:rFonts w:ascii="Times" w:hAnsi="Times"/>
                <w:color w:val="000000"/>
                <w:sz w:val="22"/>
                <w:szCs w:val="22"/>
              </w:rPr>
              <w:t>, tipiche dello stile di Tacito.</w:t>
            </w:r>
          </w:p>
          <w:p w:rsidR="00784D81" w:rsidRDefault="00784D81">
            <w:pPr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Si costruiscano i campi semantici che riguardano il concetto del caso e quello della fatalità.</w:t>
            </w:r>
          </w:p>
          <w:p w:rsidR="00784D81" w:rsidRDefault="00784D81">
            <w:pPr>
              <w:rPr>
                <w:rFonts w:ascii="Times" w:hAnsi="Times"/>
                <w:color w:val="000000"/>
              </w:rPr>
            </w:pPr>
          </w:p>
          <w:p w:rsidR="00784D81" w:rsidRDefault="00784D81">
            <w:pPr>
              <w:widowControl/>
              <w:suppressAutoHyphens w:val="0"/>
              <w:rPr>
                <w:rFonts w:ascii="Times" w:hAnsi="Times"/>
                <w:b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b/>
                <w:color w:val="000000"/>
                <w:sz w:val="22"/>
                <w:szCs w:val="22"/>
              </w:rPr>
              <w:t>Approfondimenti</w:t>
            </w:r>
          </w:p>
          <w:p w:rsidR="00784D81" w:rsidRDefault="00784D81">
            <w:pPr>
              <w:widowControl/>
              <w:suppressAutoHyphens w:val="0"/>
              <w:jc w:val="both"/>
              <w:rPr>
                <w:rFonts w:ascii="Times" w:hAnsi="Times"/>
                <w:color w:val="000000"/>
                <w:sz w:val="22"/>
                <w:szCs w:val="22"/>
              </w:rPr>
            </w:pPr>
            <w:r>
              <w:rPr>
                <w:rFonts w:ascii="Times" w:hAnsi="Times"/>
                <w:color w:val="000000"/>
                <w:sz w:val="22"/>
                <w:szCs w:val="22"/>
              </w:rPr>
              <w:t>Il tema del determinismo, del fato, della casualità occupa la riflessione della storiografia e della filosofia di età classica. Si affronti la questione in un testo di 20 righe ca., con riferimento alla concezione della storia dei più importanti autori della letteratura greco-romana ed eventualmente al pensiero delle epoche successive.</w:t>
            </w:r>
          </w:p>
        </w:tc>
      </w:tr>
    </w:tbl>
    <w:p w:rsidR="00784D81" w:rsidRDefault="00784D81">
      <w:pPr>
        <w:spacing w:line="360" w:lineRule="auto"/>
        <w:jc w:val="both"/>
      </w:pPr>
    </w:p>
    <w:sectPr w:rsidR="00784D81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3FF3"/>
    <w:rsid w:val="00111A02"/>
    <w:rsid w:val="00705EF2"/>
    <w:rsid w:val="00784D81"/>
    <w:rsid w:val="00A83FF3"/>
    <w:rsid w:val="00C5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  <w:lang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Nomesociet">
    <w:name w:val="Nome società"/>
    <w:basedOn w:val="Normale"/>
    <w:pPr>
      <w:spacing w:line="280" w:lineRule="atLeast"/>
      <w:jc w:val="both"/>
    </w:pPr>
    <w:rPr>
      <w:rFonts w:ascii="Arial Black" w:hAnsi="Arial Black"/>
      <w:spacing w:val="-25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rossi</dc:creator>
  <cp:keywords/>
  <cp:lastModifiedBy>vicepresidenza</cp:lastModifiedBy>
  <cp:revision>2</cp:revision>
  <cp:lastPrinted>1601-01-01T00:00:00Z</cp:lastPrinted>
  <dcterms:created xsi:type="dcterms:W3CDTF">2015-04-30T09:11:00Z</dcterms:created>
  <dcterms:modified xsi:type="dcterms:W3CDTF">2015-04-30T09:11:00Z</dcterms:modified>
</cp:coreProperties>
</file>